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D6884">
      <w:pPr>
        <w:jc w:val="both"/>
        <w:rPr>
          <w:rFonts w:hint="eastAsia" w:ascii="仿宋" w:hAnsi="仿宋" w:eastAsia="仿宋"/>
          <w:b w:val="0"/>
          <w:bCs/>
          <w:color w:val="000000"/>
          <w:sz w:val="28"/>
          <w:szCs w:val="28"/>
          <w:highlight w:val="none"/>
          <w:lang w:val="en-US" w:eastAsia="zh-CN"/>
        </w:rPr>
      </w:pPr>
      <w:r>
        <w:rPr>
          <w:rFonts w:hint="eastAsia" w:ascii="仿宋" w:hAnsi="仿宋" w:eastAsia="仿宋"/>
          <w:b w:val="0"/>
          <w:bCs/>
          <w:color w:val="000000"/>
          <w:sz w:val="28"/>
          <w:szCs w:val="28"/>
          <w:highlight w:val="none"/>
          <w:lang w:val="en-US" w:eastAsia="zh-CN"/>
        </w:rPr>
        <w:t>附件3：</w:t>
      </w:r>
      <w:bookmarkStart w:id="0" w:name="_GoBack"/>
      <w:bookmarkEnd w:id="0"/>
    </w:p>
    <w:p w14:paraId="6D0326C0">
      <w:pPr>
        <w:keepNext w:val="0"/>
        <w:keepLines w:val="0"/>
        <w:pageBreakBefore w:val="0"/>
        <w:widowControl/>
        <w:kinsoku/>
        <w:wordWrap/>
        <w:overflowPunct/>
        <w:topLinePunct w:val="0"/>
        <w:autoSpaceDE/>
        <w:autoSpaceDN/>
        <w:bidi w:val="0"/>
        <w:adjustRightInd/>
        <w:snapToGrid/>
        <w:spacing w:after="157" w:afterLines="50"/>
        <w:ind w:left="0" w:leftChars="0" w:firstLine="0" w:firstLineChars="0"/>
        <w:jc w:val="center"/>
        <w:textAlignment w:val="auto"/>
        <w:rPr>
          <w:rFonts w:hint="eastAsia" w:ascii="方正小标宋简体" w:eastAsia="黑体"/>
          <w:bCs/>
          <w:sz w:val="36"/>
          <w:szCs w:val="36"/>
          <w:highlight w:val="none"/>
          <w:lang w:val="en-US" w:eastAsia="zh-CN"/>
        </w:rPr>
      </w:pPr>
      <w:r>
        <w:rPr>
          <w:rFonts w:hint="eastAsia" w:ascii="方正小标宋简体" w:eastAsia="黑体"/>
          <w:bCs/>
          <w:sz w:val="36"/>
          <w:szCs w:val="36"/>
          <w:highlight w:val="none"/>
          <w:lang w:val="en-US" w:eastAsia="zh-CN"/>
        </w:rPr>
        <w:t>北京绿标建材产业技术联盟章程</w:t>
      </w:r>
    </w:p>
    <w:p w14:paraId="3F6F24E7">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107" w:leftChars="-51" w:right="-108"/>
        <w:jc w:val="center"/>
        <w:textAlignment w:val="auto"/>
        <w:rPr>
          <w:rFonts w:hint="eastAsia" w:ascii="微软雅黑" w:hAnsi="微软雅黑" w:eastAsia="微软雅黑" w:cs="微软雅黑"/>
          <w:i w:val="0"/>
          <w:iCs w:val="0"/>
          <w:caps w:val="0"/>
          <w:color w:val="333333"/>
          <w:spacing w:val="0"/>
          <w:kern w:val="0"/>
          <w:sz w:val="28"/>
          <w:szCs w:val="28"/>
          <w:highlight w:val="none"/>
          <w:shd w:val="clear" w:fill="FAFAFA"/>
          <w:lang w:val="en-US" w:eastAsia="zh-CN" w:bidi="ar"/>
        </w:rPr>
      </w:pPr>
      <w:r>
        <w:rPr>
          <w:rFonts w:hint="eastAsia" w:ascii="微软雅黑" w:hAnsi="微软雅黑" w:eastAsia="微软雅黑" w:cs="微软雅黑"/>
          <w:i w:val="0"/>
          <w:iCs w:val="0"/>
          <w:caps w:val="0"/>
          <w:color w:val="333333"/>
          <w:spacing w:val="0"/>
          <w:kern w:val="0"/>
          <w:sz w:val="28"/>
          <w:szCs w:val="28"/>
          <w:highlight w:val="none"/>
          <w:shd w:val="clear" w:fill="FAFAFA"/>
          <w:lang w:val="en-US" w:eastAsia="zh-CN" w:bidi="ar"/>
        </w:rPr>
        <w:t>第一章  总 则</w:t>
      </w:r>
    </w:p>
    <w:p w14:paraId="47CE8638">
      <w:pPr>
        <w:keepNext w:val="0"/>
        <w:keepLines w:val="0"/>
        <w:pageBreakBefore w:val="0"/>
        <w:widowControl w:val="0"/>
        <w:kinsoku/>
        <w:wordWrap/>
        <w:overflowPunct/>
        <w:topLinePunct w:val="0"/>
        <w:autoSpaceDE/>
        <w:autoSpaceDN/>
        <w:bidi w:val="0"/>
        <w:adjustRightInd/>
        <w:snapToGrid/>
        <w:spacing w:line="480" w:lineRule="exact"/>
        <w:ind w:left="-107" w:leftChars="-51"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第一条</w:t>
      </w:r>
      <w:r>
        <w:rPr>
          <w:rFonts w:hint="eastAsia" w:ascii="仿宋" w:hAnsi="仿宋" w:eastAsia="仿宋" w:cs="仿宋"/>
          <w:sz w:val="28"/>
          <w:szCs w:val="28"/>
          <w:highlight w:val="none"/>
          <w:lang w:val="en-US" w:eastAsia="zh-CN"/>
        </w:rPr>
        <w:t xml:space="preserve"> 本联盟的名称为：北京绿标建材产业技术联盟（以下简称本联盟），英文名称是Beijing Industrial Alliance of Green Building Materials，缩写为IAGM。</w:t>
      </w:r>
    </w:p>
    <w:p w14:paraId="37271E0B">
      <w:pPr>
        <w:keepNext w:val="0"/>
        <w:keepLines w:val="0"/>
        <w:pageBreakBefore w:val="0"/>
        <w:widowControl w:val="0"/>
        <w:kinsoku/>
        <w:wordWrap/>
        <w:overflowPunct/>
        <w:topLinePunct w:val="0"/>
        <w:autoSpaceDE/>
        <w:autoSpaceDN/>
        <w:bidi w:val="0"/>
        <w:adjustRightInd/>
        <w:snapToGrid/>
        <w:spacing w:line="480" w:lineRule="exact"/>
        <w:ind w:left="-107" w:leftChars="-51"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w:t>
      </w:r>
      <w:r>
        <w:rPr>
          <w:rFonts w:hint="eastAsia" w:ascii="仿宋" w:hAnsi="仿宋" w:eastAsia="仿宋" w:cs="仿宋"/>
          <w:b/>
          <w:bCs/>
          <w:sz w:val="28"/>
          <w:szCs w:val="28"/>
          <w:highlight w:val="none"/>
          <w:lang w:val="en-US" w:eastAsia="zh-CN"/>
        </w:rPr>
        <w:t>第二条</w:t>
      </w:r>
      <w:r>
        <w:rPr>
          <w:rFonts w:hint="eastAsia" w:ascii="仿宋" w:hAnsi="仿宋" w:eastAsia="仿宋" w:cs="仿宋"/>
          <w:sz w:val="28"/>
          <w:szCs w:val="28"/>
          <w:highlight w:val="none"/>
          <w:lang w:val="en-US" w:eastAsia="zh-CN"/>
        </w:rPr>
        <w:t xml:space="preserve"> 本联盟由北京建筑材料科学研究总院有限公司、北京建筑材料检验研究院有限公司牵头，联络科研院所、大专院校、行业协会、生产企业、设计单位、施工单位、监理单位等共同发起成立，是经北京市社会团体登记管理机关核准登记的非营利性社会团体法人。</w:t>
      </w:r>
    </w:p>
    <w:p w14:paraId="6727EA06">
      <w:pPr>
        <w:keepNext w:val="0"/>
        <w:keepLines w:val="0"/>
        <w:pageBreakBefore w:val="0"/>
        <w:widowControl w:val="0"/>
        <w:kinsoku/>
        <w:wordWrap/>
        <w:overflowPunct/>
        <w:topLinePunct w:val="0"/>
        <w:autoSpaceDE/>
        <w:autoSpaceDN/>
        <w:bidi w:val="0"/>
        <w:adjustRightInd/>
        <w:snapToGrid/>
        <w:spacing w:line="480" w:lineRule="exact"/>
        <w:ind w:left="-107" w:leftChars="-51"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第三条</w:t>
      </w:r>
      <w:r>
        <w:rPr>
          <w:rFonts w:hint="eastAsia" w:ascii="仿宋" w:hAnsi="仿宋" w:eastAsia="仿宋" w:cs="仿宋"/>
          <w:sz w:val="28"/>
          <w:szCs w:val="28"/>
          <w:highlight w:val="none"/>
          <w:lang w:val="en-US" w:eastAsia="zh-CN"/>
        </w:rPr>
        <w:t xml:space="preserve"> 本联盟的宗旨是：遵守宪法、法律、法规和国家政策，遵守社会道德风尚，按照“战略引领、科技创新、绿色发展、合作共赢”的原则，以市场需求为导向，以技术创新为动力，整合产业链上下游的优势资源，搭建绿色建筑材料及制品的联合开发、信息和人员交流、标准体系建设、产品评价和认证及标识服务的综合性平台，促使产学研紧密结合，以推动我国绿色建材产业的快速和健康发展。</w:t>
      </w:r>
    </w:p>
    <w:p w14:paraId="3CA98087">
      <w:pPr>
        <w:keepNext w:val="0"/>
        <w:keepLines w:val="0"/>
        <w:pageBreakBefore w:val="0"/>
        <w:widowControl w:val="0"/>
        <w:kinsoku/>
        <w:wordWrap/>
        <w:overflowPunct/>
        <w:topLinePunct w:val="0"/>
        <w:autoSpaceDE/>
        <w:autoSpaceDN/>
        <w:bidi w:val="0"/>
        <w:adjustRightInd/>
        <w:snapToGrid/>
        <w:spacing w:line="500" w:lineRule="exact"/>
        <w:ind w:left="-107" w:leftChars="-51"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 第四条</w:t>
      </w:r>
      <w:r>
        <w:rPr>
          <w:rFonts w:hint="eastAsia" w:ascii="仿宋" w:hAnsi="仿宋" w:eastAsia="仿宋" w:cs="仿宋"/>
          <w:sz w:val="28"/>
          <w:szCs w:val="28"/>
          <w:highlight w:val="none"/>
          <w:lang w:val="en-US" w:eastAsia="zh-CN"/>
        </w:rPr>
        <w:t xml:space="preserve"> 本联盟接受社会团体登记管理机关北京市民政局的业务指导和监督管理。</w:t>
      </w:r>
    </w:p>
    <w:p w14:paraId="7AA71227">
      <w:pPr>
        <w:keepNext w:val="0"/>
        <w:keepLines w:val="0"/>
        <w:pageBreakBefore w:val="0"/>
        <w:widowControl w:val="0"/>
        <w:kinsoku/>
        <w:wordWrap/>
        <w:overflowPunct/>
        <w:topLinePunct w:val="0"/>
        <w:autoSpaceDE/>
        <w:autoSpaceDN/>
        <w:bidi w:val="0"/>
        <w:adjustRightInd/>
        <w:snapToGrid/>
        <w:spacing w:line="480" w:lineRule="exact"/>
        <w:ind w:left="-107" w:leftChars="-51"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 第五条</w:t>
      </w:r>
      <w:r>
        <w:rPr>
          <w:rFonts w:hint="eastAsia" w:ascii="仿宋" w:hAnsi="仿宋" w:eastAsia="仿宋" w:cs="仿宋"/>
          <w:sz w:val="28"/>
          <w:szCs w:val="28"/>
          <w:highlight w:val="none"/>
          <w:lang w:val="en-US" w:eastAsia="zh-CN"/>
        </w:rPr>
        <w:t xml:space="preserve"> 本联盟的办公住所：北京市石景山区金顶北路69号。</w:t>
      </w:r>
    </w:p>
    <w:p w14:paraId="1861F61A">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107" w:leftChars="-51" w:right="-108"/>
        <w:jc w:val="center"/>
        <w:textAlignment w:val="auto"/>
        <w:rPr>
          <w:rFonts w:hint="default" w:ascii="微软雅黑" w:hAnsi="微软雅黑" w:eastAsia="微软雅黑" w:cs="微软雅黑"/>
          <w:i w:val="0"/>
          <w:iCs w:val="0"/>
          <w:caps w:val="0"/>
          <w:color w:val="333333"/>
          <w:spacing w:val="0"/>
          <w:kern w:val="0"/>
          <w:sz w:val="28"/>
          <w:szCs w:val="28"/>
          <w:highlight w:val="none"/>
          <w:shd w:val="clear" w:fill="FAFAFA"/>
          <w:lang w:val="en-US" w:eastAsia="zh-CN" w:bidi="ar"/>
        </w:rPr>
      </w:pPr>
      <w:r>
        <w:rPr>
          <w:rFonts w:hint="eastAsia" w:ascii="微软雅黑" w:hAnsi="微软雅黑" w:eastAsia="微软雅黑" w:cs="微软雅黑"/>
          <w:i w:val="0"/>
          <w:iCs w:val="0"/>
          <w:caps w:val="0"/>
          <w:color w:val="333333"/>
          <w:spacing w:val="0"/>
          <w:kern w:val="0"/>
          <w:sz w:val="28"/>
          <w:szCs w:val="28"/>
          <w:highlight w:val="none"/>
          <w:shd w:val="clear" w:fill="FAFAFA"/>
          <w:lang w:val="en-US" w:eastAsia="zh-CN" w:bidi="ar"/>
        </w:rPr>
        <w:t>第二章  业务范围</w:t>
      </w:r>
    </w:p>
    <w:p w14:paraId="641609C7">
      <w:pPr>
        <w:keepNext w:val="0"/>
        <w:keepLines w:val="0"/>
        <w:pageBreakBefore w:val="0"/>
        <w:widowControl w:val="0"/>
        <w:kinsoku/>
        <w:wordWrap/>
        <w:overflowPunct/>
        <w:topLinePunct w:val="0"/>
        <w:autoSpaceDE/>
        <w:autoSpaceDN/>
        <w:bidi w:val="0"/>
        <w:adjustRightInd/>
        <w:snapToGrid/>
        <w:spacing w:line="480" w:lineRule="exact"/>
        <w:ind w:left="-107" w:leftChars="-51"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第六条</w:t>
      </w:r>
      <w:r>
        <w:rPr>
          <w:rFonts w:hint="eastAsia" w:ascii="仿宋" w:hAnsi="仿宋" w:eastAsia="仿宋" w:cs="仿宋"/>
          <w:sz w:val="28"/>
          <w:szCs w:val="28"/>
          <w:highlight w:val="none"/>
          <w:lang w:val="en-US" w:eastAsia="zh-CN"/>
        </w:rPr>
        <w:t xml:space="preserve"> 本联盟的业务范围：</w:t>
      </w:r>
    </w:p>
    <w:p w14:paraId="4F3A429D">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绿色建材技术研究和产品开发：围绕绿色建材行业发展的共性技术问题和新技术、新产品开发工作，组织会员单位联合申报政府部门和其他机构的科研课题，促进会员单位自主创新和协同创新能力的提升，推动行业科技进步，引导产品向绿色环保、高技术集成、高附加值和智能化的方向发展。</w:t>
      </w:r>
    </w:p>
    <w:p w14:paraId="67DC748A">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（二）标准制定：构建绿色建材产品评价的标准体系，开展标准及技术规范的宣传和推广活动，引导行业健康发展。</w:t>
      </w:r>
    </w:p>
    <w:p w14:paraId="359DEE40">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专业大数据库与信息平台服务：建立专业大数据库与信息服务平台，实现联盟成员信息共享，为会员单位提供线上增值服务；同时，为政府决策提供信息和技术支持，向社会各界宣传有关的政策法规和市场信息，在政府、企业与市场之间发挥技术和信息沟通的桥梁和纽带作用。</w:t>
      </w:r>
    </w:p>
    <w:p w14:paraId="0FBB6913">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（四）科技成果转化：帮助企业引进和消化吸收国内外先进的绿色建材生产技术。</w:t>
      </w:r>
    </w:p>
    <w:p w14:paraId="612833BA">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（五）技术和产品的认证：开展新技术、新工艺、新产品的鉴定和评价工作，以及绿色建材产品评价和证书、标识的颁发工作。</w:t>
      </w:r>
    </w:p>
    <w:p w14:paraId="4B1C11E1">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（六）技术咨询、培训与会展服务：提供政策、技术和企业发展战略的咨询与培训服务，开展人才培养和交流服务，组织项目论证和会展活动，出版专业刊物，促进从业人员综合能力的提升。</w:t>
      </w:r>
    </w:p>
    <w:p w14:paraId="3DD39072">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（七）政府委托：承接政府的委托事项。</w:t>
      </w:r>
    </w:p>
    <w:p w14:paraId="4EE77A5D">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（八）国际交流与合作：组织企业参加国内外新技术、新产品的交流和推广活动，为会员开展国际科技和产品合作牵线搭桥，组织召开国际技术和产品交流会，推动国内绿色建材新技术和产品走向国际市场。</w:t>
      </w:r>
    </w:p>
    <w:p w14:paraId="157DCFA5">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107" w:leftChars="-51" w:right="-108"/>
        <w:jc w:val="center"/>
        <w:textAlignment w:val="auto"/>
        <w:rPr>
          <w:rFonts w:hint="default" w:ascii="微软雅黑" w:hAnsi="微软雅黑" w:eastAsia="微软雅黑" w:cs="微软雅黑"/>
          <w:i w:val="0"/>
          <w:iCs w:val="0"/>
          <w:caps w:val="0"/>
          <w:color w:val="333333"/>
          <w:spacing w:val="0"/>
          <w:kern w:val="0"/>
          <w:sz w:val="28"/>
          <w:szCs w:val="28"/>
          <w:highlight w:val="none"/>
          <w:shd w:val="clear" w:fill="FAFAFA"/>
          <w:lang w:val="en-US" w:eastAsia="zh-CN" w:bidi="ar"/>
        </w:rPr>
      </w:pPr>
      <w:r>
        <w:rPr>
          <w:rFonts w:hint="eastAsia" w:ascii="微软雅黑" w:hAnsi="微软雅黑" w:eastAsia="微软雅黑" w:cs="微软雅黑"/>
          <w:i w:val="0"/>
          <w:iCs w:val="0"/>
          <w:caps w:val="0"/>
          <w:color w:val="333333"/>
          <w:spacing w:val="0"/>
          <w:kern w:val="0"/>
          <w:sz w:val="28"/>
          <w:szCs w:val="28"/>
          <w:highlight w:val="none"/>
          <w:shd w:val="clear" w:fill="FAFAFA"/>
          <w:lang w:val="en-US" w:eastAsia="zh-CN" w:bidi="ar"/>
        </w:rPr>
        <w:t>第三章  会 员</w:t>
      </w:r>
    </w:p>
    <w:p w14:paraId="248917B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第七条</w:t>
      </w:r>
      <w:r>
        <w:rPr>
          <w:rFonts w:hint="eastAsia" w:ascii="仿宋" w:hAnsi="仿宋" w:eastAsia="仿宋" w:cs="仿宋"/>
          <w:sz w:val="28"/>
          <w:szCs w:val="28"/>
          <w:highlight w:val="none"/>
          <w:lang w:val="en-US" w:eastAsia="zh-CN"/>
        </w:rPr>
        <w:t xml:space="preserve"> 本联盟由单位会员组成。</w:t>
      </w:r>
    </w:p>
    <w:p w14:paraId="3E202F9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第八条</w:t>
      </w:r>
      <w:r>
        <w:rPr>
          <w:rFonts w:hint="eastAsia" w:ascii="仿宋" w:hAnsi="仿宋" w:eastAsia="仿宋" w:cs="仿宋"/>
          <w:sz w:val="28"/>
          <w:szCs w:val="28"/>
          <w:highlight w:val="none"/>
          <w:lang w:val="en-US" w:eastAsia="zh-CN"/>
        </w:rPr>
        <w:t xml:space="preserve"> 申请加入本联盟的会员，必须具备下列条件：</w:t>
      </w:r>
    </w:p>
    <w:p w14:paraId="2DE5987D">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（一）自愿申请加入本联盟，拥护联盟章程；</w:t>
      </w:r>
    </w:p>
    <w:p w14:paraId="44E1DA47">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（二）能按时缴纳会费并执行联盟决议；</w:t>
      </w:r>
    </w:p>
    <w:p w14:paraId="0AC6B325">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（三）在行业及相关领域内具有一定影响力。</w:t>
      </w:r>
      <w:r>
        <w:rPr>
          <w:rFonts w:hint="default" w:ascii="仿宋" w:hAnsi="仿宋" w:eastAsia="仿宋" w:cs="仿宋"/>
          <w:sz w:val="28"/>
          <w:szCs w:val="28"/>
          <w:highlight w:val="none"/>
          <w:lang w:val="en-US" w:eastAsia="zh-CN"/>
        </w:rPr>
        <w:br w:type="textWrapping"/>
      </w:r>
      <w:r>
        <w:rPr>
          <w:rFonts w:hint="eastAsia" w:ascii="仿宋" w:hAnsi="仿宋" w:eastAsia="仿宋" w:cs="仿宋"/>
          <w:b/>
          <w:bCs/>
          <w:sz w:val="28"/>
          <w:szCs w:val="28"/>
          <w:highlight w:val="none"/>
          <w:lang w:val="en-US" w:eastAsia="zh-CN"/>
        </w:rPr>
        <w:t>第九条</w:t>
      </w:r>
      <w:r>
        <w:rPr>
          <w:rFonts w:hint="eastAsia" w:ascii="仿宋" w:hAnsi="仿宋" w:eastAsia="仿宋" w:cs="仿宋"/>
          <w:sz w:val="28"/>
          <w:szCs w:val="28"/>
          <w:highlight w:val="none"/>
          <w:lang w:val="en-US" w:eastAsia="zh-CN"/>
        </w:rPr>
        <w:t xml:space="preserve"> 会员入会程序</w:t>
      </w:r>
    </w:p>
    <w:p w14:paraId="17CF8CA9">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（一）申请单位向联盟秘书处提出加入联盟申请书等资料；</w:t>
      </w:r>
    </w:p>
    <w:p w14:paraId="6F7B804B">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（二）联盟秘书处收到入会申请资料后进行初审，初审合格者提交联盟理事会讨论通过；</w:t>
      </w:r>
    </w:p>
    <w:p w14:paraId="3A336E08">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（三）联盟秘书处完成会员注册手续并通报被接纳为联盟会员的申请单位，颁发《北京绿标建材产业技术联盟会员证书》和会员单位牌匾。</w:t>
      </w:r>
    </w:p>
    <w:p w14:paraId="17E05BE5">
      <w:pPr>
        <w:keepNext w:val="0"/>
        <w:keepLines w:val="0"/>
        <w:pageBreakBefore w:val="0"/>
        <w:widowControl w:val="0"/>
        <w:kinsoku/>
        <w:wordWrap/>
        <w:overflowPunct/>
        <w:topLinePunct w:val="0"/>
        <w:autoSpaceDE/>
        <w:autoSpaceDN/>
        <w:bidi w:val="0"/>
        <w:adjustRightInd/>
        <w:snapToGrid/>
        <w:spacing w:line="50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第十条</w:t>
      </w:r>
      <w:r>
        <w:rPr>
          <w:rFonts w:hint="eastAsia" w:ascii="仿宋" w:hAnsi="仿宋" w:eastAsia="仿宋" w:cs="仿宋"/>
          <w:sz w:val="28"/>
          <w:szCs w:val="28"/>
          <w:highlight w:val="none"/>
          <w:lang w:val="en-US" w:eastAsia="zh-CN"/>
        </w:rPr>
        <w:t xml:space="preserve"> 会员享有下列权利：</w:t>
      </w:r>
    </w:p>
    <w:p w14:paraId="7F69DB76">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（一）本联盟的选举权、被选举权和表决权；</w:t>
      </w:r>
    </w:p>
    <w:p w14:paraId="364A776B">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（二）参加本联盟的活动，获得本联盟服务的优先权；</w:t>
      </w:r>
    </w:p>
    <w:p w14:paraId="300E2D4D">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（三）可享有本联盟会员业务范围内的优惠政策；</w:t>
      </w:r>
    </w:p>
    <w:p w14:paraId="572E8900">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（四）可享有参加联盟举办的各类学术交流、技术攻关、产品推广和年度峰会等活动，优先承担政府委托联盟完成的各种科研课题；</w:t>
      </w:r>
    </w:p>
    <w:p w14:paraId="30BA3AE7">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（五）可优先承担政府部门和其他机构委托联盟提供的有偿技术咨询等服务项目，积极参加联盟组织的无偿社会服务活动；</w:t>
      </w:r>
    </w:p>
    <w:p w14:paraId="2BC3B258">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（六）对本联盟工作的批评建议权和监督权；</w:t>
      </w:r>
    </w:p>
    <w:p w14:paraId="35F9F5B9">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（七）入会自愿、退会自由。</w:t>
      </w:r>
    </w:p>
    <w:p w14:paraId="0F0BAC10">
      <w:pPr>
        <w:keepNext w:val="0"/>
        <w:keepLines w:val="0"/>
        <w:pageBreakBefore w:val="0"/>
        <w:widowControl w:val="0"/>
        <w:kinsoku/>
        <w:wordWrap/>
        <w:overflowPunct/>
        <w:topLinePunct w:val="0"/>
        <w:autoSpaceDE/>
        <w:autoSpaceDN/>
        <w:bidi w:val="0"/>
        <w:adjustRightInd/>
        <w:snapToGrid/>
        <w:spacing w:line="50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第十一条</w:t>
      </w:r>
      <w:r>
        <w:rPr>
          <w:rFonts w:hint="eastAsia" w:ascii="仿宋" w:hAnsi="仿宋" w:eastAsia="仿宋" w:cs="仿宋"/>
          <w:sz w:val="28"/>
          <w:szCs w:val="28"/>
          <w:highlight w:val="none"/>
          <w:lang w:val="en-US" w:eastAsia="zh-CN"/>
        </w:rPr>
        <w:t xml:space="preserve"> 会员履行下列义务:</w:t>
      </w:r>
    </w:p>
    <w:p w14:paraId="398E458E">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（一）遵守本联盟章程，执行本联盟的决议；</w:t>
      </w:r>
    </w:p>
    <w:p w14:paraId="569B35A1">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（二）维护本联盟的合法权益和声誉；</w:t>
      </w:r>
    </w:p>
    <w:p w14:paraId="3027310B">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（三）完成本联盟交办的工作；</w:t>
      </w:r>
    </w:p>
    <w:p w14:paraId="52123ECE">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（四）按规定交纳会费；</w:t>
      </w:r>
    </w:p>
    <w:p w14:paraId="1EF3DF91">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（五）向联盟反映情况，并提供有关支持材料。</w:t>
      </w:r>
    </w:p>
    <w:p w14:paraId="5167BB5E">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第十二条</w:t>
      </w:r>
      <w:r>
        <w:rPr>
          <w:rFonts w:hint="eastAsia" w:ascii="仿宋" w:hAnsi="仿宋" w:eastAsia="仿宋" w:cs="仿宋"/>
          <w:sz w:val="28"/>
          <w:szCs w:val="28"/>
          <w:highlight w:val="none"/>
          <w:lang w:val="en-US" w:eastAsia="zh-CN"/>
        </w:rPr>
        <w:t xml:space="preserve"> 会员退会应书面通知联盟秘书处，并交回会员证书及牌匾。会员一年不交纳会费或不参加本联盟活动，视为自动退会。</w:t>
      </w:r>
    </w:p>
    <w:p w14:paraId="76FED4BF">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 xml:space="preserve">第十三条 </w:t>
      </w:r>
      <w:r>
        <w:rPr>
          <w:rFonts w:hint="eastAsia" w:ascii="仿宋" w:hAnsi="仿宋" w:eastAsia="仿宋" w:cs="仿宋"/>
          <w:sz w:val="28"/>
          <w:szCs w:val="28"/>
          <w:highlight w:val="none"/>
          <w:lang w:val="en-US" w:eastAsia="zh-CN"/>
        </w:rPr>
        <w:t>会员如有严重违反本章程的行为，经理事会表决通过，予以除名。</w:t>
      </w:r>
    </w:p>
    <w:p w14:paraId="16A2B156">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107" w:leftChars="-51" w:right="-108"/>
        <w:jc w:val="center"/>
        <w:textAlignment w:val="auto"/>
        <w:rPr>
          <w:rFonts w:hint="default" w:ascii="微软雅黑" w:hAnsi="微软雅黑" w:eastAsia="微软雅黑" w:cs="微软雅黑"/>
          <w:i w:val="0"/>
          <w:iCs w:val="0"/>
          <w:caps w:val="0"/>
          <w:color w:val="333333"/>
          <w:spacing w:val="0"/>
          <w:kern w:val="0"/>
          <w:sz w:val="28"/>
          <w:szCs w:val="28"/>
          <w:highlight w:val="none"/>
          <w:shd w:val="clear" w:fill="FAFAFA"/>
          <w:lang w:val="en-US" w:eastAsia="zh-CN" w:bidi="ar"/>
        </w:rPr>
      </w:pPr>
      <w:r>
        <w:rPr>
          <w:rFonts w:hint="eastAsia" w:ascii="微软雅黑" w:hAnsi="微软雅黑" w:eastAsia="微软雅黑" w:cs="微软雅黑"/>
          <w:i w:val="0"/>
          <w:iCs w:val="0"/>
          <w:caps w:val="0"/>
          <w:color w:val="333333"/>
          <w:spacing w:val="0"/>
          <w:kern w:val="0"/>
          <w:sz w:val="28"/>
          <w:szCs w:val="28"/>
          <w:highlight w:val="none"/>
          <w:shd w:val="clear" w:fill="FAFAFA"/>
          <w:lang w:val="en-US" w:eastAsia="zh-CN" w:bidi="ar"/>
        </w:rPr>
        <w:t>第四章  组织机构</w:t>
      </w:r>
    </w:p>
    <w:p w14:paraId="22DB0040">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第十四条</w:t>
      </w:r>
      <w:r>
        <w:rPr>
          <w:rFonts w:hint="eastAsia" w:ascii="仿宋" w:hAnsi="仿宋" w:eastAsia="仿宋" w:cs="仿宋"/>
          <w:sz w:val="28"/>
          <w:szCs w:val="28"/>
          <w:highlight w:val="none"/>
          <w:lang w:val="en-US" w:eastAsia="zh-CN"/>
        </w:rPr>
        <w:t xml:space="preserve"> 本联盟的最高权力机构是会员（或代表）大会，其主要职责是：</w:t>
      </w:r>
    </w:p>
    <w:p w14:paraId="71ECB579">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（一）制定和修改章程；</w:t>
      </w:r>
    </w:p>
    <w:p w14:paraId="43A351AB">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（二）选举和罢免理事、监事；</w:t>
      </w:r>
    </w:p>
    <w:p w14:paraId="5D43C456">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（三）审议理事会、监事会的工作报告和财务报告；</w:t>
      </w:r>
    </w:p>
    <w:p w14:paraId="4FF59901">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（四）决定重大变更和终止事宜；</w:t>
      </w:r>
    </w:p>
    <w:p w14:paraId="20AFCA51">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（五）决定重大业务活动计划，包括资金募集、管理和使用计划；</w:t>
      </w:r>
    </w:p>
    <w:p w14:paraId="02EF68BF">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（六）决定其他重大事宜。</w:t>
      </w:r>
    </w:p>
    <w:p w14:paraId="6C57EFFB">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第十五条</w:t>
      </w:r>
      <w:r>
        <w:rPr>
          <w:rFonts w:hint="eastAsia" w:ascii="仿宋" w:hAnsi="仿宋" w:eastAsia="仿宋" w:cs="仿宋"/>
          <w:sz w:val="28"/>
          <w:szCs w:val="28"/>
          <w:highlight w:val="none"/>
          <w:lang w:val="en-US" w:eastAsia="zh-CN"/>
        </w:rPr>
        <w:t xml:space="preserve"> 会员大会须有2/3以上的会员代表出席方能召开，其决议须经到会会员代表半数以上表决通过方能生效。</w:t>
      </w:r>
    </w:p>
    <w:p w14:paraId="6C19A324">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第十六条</w:t>
      </w:r>
      <w:r>
        <w:rPr>
          <w:rFonts w:hint="eastAsia" w:ascii="仿宋" w:hAnsi="仿宋" w:eastAsia="仿宋" w:cs="仿宋"/>
          <w:sz w:val="28"/>
          <w:szCs w:val="28"/>
          <w:highlight w:val="none"/>
          <w:lang w:val="en-US" w:eastAsia="zh-CN"/>
        </w:rPr>
        <w:t xml:space="preserve"> 会员大会每届3年。召开会员(或代表)大会30日前，应将会议准备材料送至社会团体登记管理机关审查，确认符合开会条件后方可召开。召开会员大会后将会议纪要及有关材料报社会团体登记管理机关，按规定办理成立登记手续。因特殊情况需提前或延期换届的，须由理事会表决通过，经社团登记管理机关批准同意。但延期换届最长不超过1年。</w:t>
      </w:r>
    </w:p>
    <w:p w14:paraId="4FCDE24D">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第十七条</w:t>
      </w:r>
      <w:r>
        <w:rPr>
          <w:rFonts w:hint="eastAsia" w:ascii="仿宋" w:hAnsi="仿宋" w:eastAsia="仿宋" w:cs="仿宋"/>
          <w:sz w:val="28"/>
          <w:szCs w:val="28"/>
          <w:highlight w:val="none"/>
          <w:lang w:val="en-US" w:eastAsia="zh-CN"/>
        </w:rPr>
        <w:t xml:space="preserve"> 本联盟设理事会，理事会在会员大会闭会期间执行会员大会的决议，领导本联盟开展日常工作，对会员（或代表）大会负责。</w:t>
      </w:r>
    </w:p>
    <w:p w14:paraId="4E1E3B7F">
      <w:pPr>
        <w:keepNext w:val="0"/>
        <w:keepLines w:val="0"/>
        <w:pageBreakBefore w:val="0"/>
        <w:widowControl w:val="0"/>
        <w:kinsoku/>
        <w:wordWrap/>
        <w:overflowPunct/>
        <w:topLinePunct w:val="0"/>
        <w:autoSpaceDE/>
        <w:autoSpaceDN/>
        <w:bidi w:val="0"/>
        <w:adjustRightInd/>
        <w:snapToGrid/>
        <w:spacing w:line="50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第十八条</w:t>
      </w:r>
      <w:r>
        <w:rPr>
          <w:rFonts w:hint="eastAsia" w:ascii="仿宋" w:hAnsi="仿宋" w:eastAsia="仿宋" w:cs="仿宋"/>
          <w:sz w:val="28"/>
          <w:szCs w:val="28"/>
          <w:highlight w:val="none"/>
          <w:lang w:val="en-US" w:eastAsia="zh-CN"/>
        </w:rPr>
        <w:t xml:space="preserve"> 理事会的职责是：</w:t>
      </w:r>
    </w:p>
    <w:p w14:paraId="3A3A02D6">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（一）执行会员（或代表）大会的决议；</w:t>
      </w:r>
    </w:p>
    <w:p w14:paraId="400CB98D">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（二）选举和罢免理事长、副理事长、秘书长；</w:t>
      </w:r>
    </w:p>
    <w:p w14:paraId="17265738">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（三）筹备召开会员（或代表）大会；</w:t>
      </w:r>
    </w:p>
    <w:p w14:paraId="1E029DF6">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（四）向会员（或代表）大会报告工作和财务状况；</w:t>
      </w:r>
    </w:p>
    <w:p w14:paraId="4BFE5934">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（五）决定会员的吸收或除名；</w:t>
      </w:r>
    </w:p>
    <w:p w14:paraId="7C7C3F92">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（六）决定办事机构、分支机构、代表机构和实体机构的设立和办公住所的变更；</w:t>
      </w:r>
    </w:p>
    <w:p w14:paraId="1A146EDF">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（七）决定副秘书长、各机构主要负责人的聘任；</w:t>
      </w:r>
    </w:p>
    <w:p w14:paraId="50CD6084">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（八）领导本联盟各机构开展工作；</w:t>
      </w:r>
    </w:p>
    <w:p w14:paraId="252CBAF6">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（九）制定内部管理制度；</w:t>
      </w:r>
    </w:p>
    <w:p w14:paraId="315BE247">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（十）接受监事会提出的对本联盟违纪问题的处理意见，提出解决办法并接受其监督；</w:t>
      </w:r>
    </w:p>
    <w:p w14:paraId="2E17DA17">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（十一）决定其他重大事项。</w:t>
      </w:r>
    </w:p>
    <w:p w14:paraId="7E49D0C7">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第十九条</w:t>
      </w:r>
      <w:r>
        <w:rPr>
          <w:rFonts w:hint="eastAsia" w:ascii="仿宋" w:hAnsi="仿宋" w:eastAsia="仿宋" w:cs="仿宋"/>
          <w:sz w:val="28"/>
          <w:szCs w:val="28"/>
          <w:highlight w:val="none"/>
          <w:lang w:val="en-US" w:eastAsia="zh-CN"/>
        </w:rPr>
        <w:t xml:space="preserve"> 理事会须有2/3以上理事出席方能召开，理事会的决议须经到会理事半数以上表决通过方能生效。</w:t>
      </w:r>
    </w:p>
    <w:p w14:paraId="2479588D">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第二十条</w:t>
      </w:r>
      <w:r>
        <w:rPr>
          <w:rFonts w:hint="eastAsia" w:ascii="仿宋" w:hAnsi="仿宋" w:eastAsia="仿宋" w:cs="仿宋"/>
          <w:sz w:val="28"/>
          <w:szCs w:val="28"/>
          <w:highlight w:val="none"/>
          <w:lang w:val="en-US" w:eastAsia="zh-CN"/>
        </w:rPr>
        <w:t xml:space="preserve"> 理事会每年至少召开1次会议；情况特殊的，也可采用通讯形式召开。</w:t>
      </w:r>
    </w:p>
    <w:p w14:paraId="3F583F98">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第二十一条</w:t>
      </w:r>
      <w:r>
        <w:rPr>
          <w:rFonts w:hint="eastAsia" w:ascii="仿宋" w:hAnsi="仿宋" w:eastAsia="仿宋" w:cs="仿宋"/>
          <w:sz w:val="28"/>
          <w:szCs w:val="28"/>
          <w:highlight w:val="none"/>
          <w:lang w:val="en-US" w:eastAsia="zh-CN"/>
        </w:rPr>
        <w:t xml:space="preserve"> 本联盟设立秘书处。秘书处在理事会闭会期间行使下列职权，并对理事会负责：</w:t>
      </w:r>
    </w:p>
    <w:p w14:paraId="07E69719">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（一）负责制定并执行联盟日常工作的管理制度、业务流程、岗位职责；</w:t>
      </w:r>
    </w:p>
    <w:p w14:paraId="06773DA4">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（二）执行联盟（或代表）大会及理事会决议，负责组织、管理、协调联盟的各项工作；</w:t>
      </w:r>
    </w:p>
    <w:p w14:paraId="03A98EB1">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（三）负责组织联盟大会及理事会会议的筹备和召开，起草联盟年度工作报告；</w:t>
      </w:r>
    </w:p>
    <w:p w14:paraId="32DD8069">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（四）负责联盟财务管理工作，起草联盟年度财务预、决算报告；</w:t>
      </w:r>
    </w:p>
    <w:p w14:paraId="29344BBD">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（五）负责受理加入联盟的申请，对申请单位资格进行初步审查；</w:t>
      </w:r>
    </w:p>
    <w:p w14:paraId="2182D421">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（六）依据联盟有关处罚制度提议除名违规联盟成员及受理联盟成员的退出申请；</w:t>
      </w:r>
    </w:p>
    <w:p w14:paraId="23E0AE98">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（七）联盟会员大会和理事会交办的其他事项。</w:t>
      </w:r>
    </w:p>
    <w:p w14:paraId="086FE2FC">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联盟设秘书长1名、副秘书长若干名，每届任期3年，可以连任。</w:t>
      </w:r>
    </w:p>
    <w:p w14:paraId="120A7149">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第二十二条</w:t>
      </w:r>
      <w:r>
        <w:rPr>
          <w:rFonts w:hint="eastAsia" w:ascii="仿宋" w:hAnsi="仿宋" w:eastAsia="仿宋" w:cs="仿宋"/>
          <w:sz w:val="28"/>
          <w:szCs w:val="28"/>
          <w:highlight w:val="none"/>
          <w:lang w:val="en-US" w:eastAsia="zh-CN"/>
        </w:rPr>
        <w:t xml:space="preserve"> 本联盟的理事长、副理事长、秘书长必须具备下列条件：</w:t>
      </w:r>
    </w:p>
    <w:p w14:paraId="1870D769">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（一）坚持党的路线、方针、政策，政治素质好；</w:t>
      </w:r>
    </w:p>
    <w:p w14:paraId="3B720FAA">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（二）在本联盟业务领域内有较大影响；</w:t>
      </w:r>
    </w:p>
    <w:p w14:paraId="28B68AA8">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（三）最高任职年龄不超过70周岁，秘书长为专职；</w:t>
      </w:r>
    </w:p>
    <w:p w14:paraId="51DBD729">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（四）身体健康，能坚持正常工作；</w:t>
      </w:r>
    </w:p>
    <w:p w14:paraId="0C58047C">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（五）未受过剥夺政治权利的刑事处罚；</w:t>
      </w:r>
    </w:p>
    <w:p w14:paraId="4C5C66DF">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（六）具有完全民事行为能力。</w:t>
      </w:r>
    </w:p>
    <w:p w14:paraId="468EAD7A">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第二十三条</w:t>
      </w:r>
      <w:r>
        <w:rPr>
          <w:rFonts w:hint="eastAsia" w:ascii="仿宋" w:hAnsi="仿宋" w:eastAsia="仿宋" w:cs="仿宋"/>
          <w:sz w:val="28"/>
          <w:szCs w:val="28"/>
          <w:highlight w:val="none"/>
          <w:lang w:val="en-US" w:eastAsia="zh-CN"/>
        </w:rPr>
        <w:t xml:space="preserve"> 本联盟的法定代表人为理事长。</w:t>
      </w:r>
    </w:p>
    <w:p w14:paraId="7CA7903D">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本联盟法定代表人不得同时担任其他社会团体的法定代表人。</w:t>
      </w:r>
    </w:p>
    <w:p w14:paraId="29DD8E69">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理事长任期不超过两届。</w:t>
      </w:r>
    </w:p>
    <w:p w14:paraId="1E93D4C4">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第二十四条</w:t>
      </w:r>
      <w:r>
        <w:rPr>
          <w:rFonts w:hint="eastAsia" w:ascii="仿宋" w:hAnsi="仿宋" w:eastAsia="仿宋" w:cs="仿宋"/>
          <w:sz w:val="28"/>
          <w:szCs w:val="28"/>
          <w:highlight w:val="none"/>
          <w:lang w:val="en-US" w:eastAsia="zh-CN"/>
        </w:rPr>
        <w:t xml:space="preserve"> 本联盟理事长行使下列职权：</w:t>
      </w:r>
    </w:p>
    <w:p w14:paraId="046FE2BD">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（一）召集和主持理事会；</w:t>
      </w:r>
    </w:p>
    <w:p w14:paraId="4BD12AE2">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（二）检查会员（或代表）大会、理事会决议的落实情况；</w:t>
      </w:r>
      <w:r>
        <w:rPr>
          <w:rFonts w:hint="default"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（三）代表本联盟签署有关重要文件。</w:t>
      </w:r>
    </w:p>
    <w:p w14:paraId="4331C012">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第二十五条 本联盟秘书长行使下列职权：</w:t>
      </w:r>
    </w:p>
    <w:p w14:paraId="6D18CCBB">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（一）主持办事机构开展日常工作，组织实施年度工作计划；</w:t>
      </w:r>
    </w:p>
    <w:p w14:paraId="629BBEDB">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（二）协调各分支机构、代表机构、实体机构开展工作；</w:t>
      </w:r>
    </w:p>
    <w:p w14:paraId="3B8A9D64">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（三）提名副秘书长以及各办事机构、分支机构、代表机构和实体机构主要负责人，交理事会决定；</w:t>
      </w:r>
    </w:p>
    <w:p w14:paraId="4B340C33">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（四）决定办事机构、代表机构、实体机构专职工作人员的聘用；</w:t>
      </w:r>
    </w:p>
    <w:p w14:paraId="40BF650D">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（五）处理其他日常事务。</w:t>
      </w:r>
    </w:p>
    <w:p w14:paraId="27008F87">
      <w:pPr>
        <w:keepNext w:val="0"/>
        <w:keepLines w:val="0"/>
        <w:pageBreakBefore w:val="0"/>
        <w:widowControl w:val="0"/>
        <w:kinsoku/>
        <w:wordWrap/>
        <w:overflowPunct/>
        <w:topLinePunct w:val="0"/>
        <w:autoSpaceDE/>
        <w:autoSpaceDN/>
        <w:bidi w:val="0"/>
        <w:adjustRightInd/>
        <w:snapToGrid/>
        <w:spacing w:line="50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第二十六条 本联盟设监事会，由3人组成，由会员（或代表）大会选举产生，向会员（或代表）大会负责。其主要职责是：</w:t>
      </w:r>
    </w:p>
    <w:p w14:paraId="1DC49929">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（一）选举产生监事长；</w:t>
      </w:r>
    </w:p>
    <w:p w14:paraId="291582DE">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（二）出席理事会；</w:t>
      </w:r>
    </w:p>
    <w:p w14:paraId="215D664B">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（三）监督本联盟及领导成员依照《社会团体登记管理条例》和有关法律、法规开展活动；</w:t>
      </w:r>
    </w:p>
    <w:p w14:paraId="72F7F7D4">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（四）督促本联盟及领导成员依照核定的章程、业务范围及内部管理制度开展活动；</w:t>
      </w:r>
    </w:p>
    <w:p w14:paraId="48F7A351">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（五）对本联盟成员违反联盟纪律，损害本联盟声誉的行为进行监督；</w:t>
      </w:r>
    </w:p>
    <w:p w14:paraId="20ABB955">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（六）对本联盟的财务状况进行监督；</w:t>
      </w:r>
    </w:p>
    <w:p w14:paraId="71BD8492">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（七）对本联盟的违法违纪行为提出内部处理意见，提交理事会并监督其执行。</w:t>
      </w:r>
    </w:p>
    <w:p w14:paraId="43154669">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107" w:leftChars="-51" w:right="-108"/>
        <w:jc w:val="center"/>
        <w:textAlignment w:val="auto"/>
        <w:rPr>
          <w:rFonts w:hint="default" w:ascii="微软雅黑" w:hAnsi="微软雅黑" w:eastAsia="微软雅黑" w:cs="微软雅黑"/>
          <w:i w:val="0"/>
          <w:iCs w:val="0"/>
          <w:caps w:val="0"/>
          <w:color w:val="333333"/>
          <w:spacing w:val="0"/>
          <w:kern w:val="0"/>
          <w:sz w:val="28"/>
          <w:szCs w:val="28"/>
          <w:highlight w:val="none"/>
          <w:shd w:val="clear" w:fill="FAFAFA"/>
          <w:lang w:val="en-US" w:eastAsia="zh-CN" w:bidi="ar"/>
        </w:rPr>
      </w:pPr>
      <w:r>
        <w:rPr>
          <w:rFonts w:hint="eastAsia" w:ascii="微软雅黑" w:hAnsi="微软雅黑" w:eastAsia="微软雅黑" w:cs="微软雅黑"/>
          <w:i w:val="0"/>
          <w:iCs w:val="0"/>
          <w:caps w:val="0"/>
          <w:color w:val="333333"/>
          <w:spacing w:val="0"/>
          <w:kern w:val="0"/>
          <w:sz w:val="28"/>
          <w:szCs w:val="28"/>
          <w:highlight w:val="none"/>
          <w:shd w:val="clear" w:fill="FAFAFA"/>
          <w:lang w:val="en-US" w:eastAsia="zh-CN" w:bidi="ar"/>
        </w:rPr>
        <w:t>第五章  资产管理</w:t>
      </w:r>
    </w:p>
    <w:p w14:paraId="6757BF39">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第二十七条</w:t>
      </w:r>
      <w:r>
        <w:rPr>
          <w:rFonts w:hint="eastAsia" w:ascii="仿宋" w:hAnsi="仿宋" w:eastAsia="仿宋" w:cs="仿宋"/>
          <w:sz w:val="28"/>
          <w:szCs w:val="28"/>
          <w:highlight w:val="none"/>
          <w:lang w:val="en-US" w:eastAsia="zh-CN"/>
        </w:rPr>
        <w:t xml:space="preserve"> 本联盟经费来源：</w:t>
      </w:r>
    </w:p>
    <w:p w14:paraId="21EC3DEB">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（一）会费；</w:t>
      </w:r>
    </w:p>
    <w:p w14:paraId="67188E99">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（二）捐赠；</w:t>
      </w:r>
    </w:p>
    <w:p w14:paraId="0C45C25F">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（三）政府资助；</w:t>
      </w:r>
    </w:p>
    <w:p w14:paraId="1764F516">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（四）在核准的业务范围内开展活动或服务的收入；</w:t>
      </w:r>
    </w:p>
    <w:p w14:paraId="71D418E3">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（五）利息；</w:t>
      </w:r>
    </w:p>
    <w:p w14:paraId="38CB1557">
      <w:pPr>
        <w:keepNext w:val="0"/>
        <w:keepLines w:val="0"/>
        <w:pageBreakBefore w:val="0"/>
        <w:widowControl w:val="0"/>
        <w:kinsoku/>
        <w:wordWrap/>
        <w:overflowPunct/>
        <w:topLinePunct w:val="0"/>
        <w:autoSpaceDE/>
        <w:autoSpaceDN/>
        <w:bidi w:val="0"/>
        <w:adjustRightInd/>
        <w:snapToGrid/>
        <w:spacing w:line="480" w:lineRule="exact"/>
        <w:ind w:left="-107" w:leftChars="-51" w:right="-108"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（六）其他合法收入。</w:t>
      </w:r>
    </w:p>
    <w:p w14:paraId="7B883D4B">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第二十八条</w:t>
      </w:r>
      <w:r>
        <w:rPr>
          <w:rFonts w:hint="eastAsia" w:ascii="仿宋" w:hAnsi="仿宋" w:eastAsia="仿宋" w:cs="仿宋"/>
          <w:sz w:val="28"/>
          <w:szCs w:val="28"/>
          <w:highlight w:val="none"/>
          <w:lang w:val="en-US" w:eastAsia="zh-CN"/>
        </w:rPr>
        <w:t xml:space="preserve"> 本联盟按照会员（或代表）大会表决通过的会费收取办法收取会员会费。</w:t>
      </w:r>
    </w:p>
    <w:p w14:paraId="02DA3D94">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第二十九条</w:t>
      </w:r>
      <w:r>
        <w:rPr>
          <w:rFonts w:hint="eastAsia" w:ascii="仿宋" w:hAnsi="仿宋" w:eastAsia="仿宋" w:cs="仿宋"/>
          <w:sz w:val="28"/>
          <w:szCs w:val="28"/>
          <w:highlight w:val="none"/>
          <w:lang w:val="en-US" w:eastAsia="zh-CN"/>
        </w:rPr>
        <w:t xml:space="preserve"> 本联盟经费必须用于本章程规定的业务范围和事业的发展。</w:t>
      </w:r>
    </w:p>
    <w:p w14:paraId="1CF6AAF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第三十条</w:t>
      </w:r>
      <w:r>
        <w:rPr>
          <w:rFonts w:hint="eastAsia" w:ascii="仿宋" w:hAnsi="仿宋" w:eastAsia="仿宋" w:cs="仿宋"/>
          <w:sz w:val="28"/>
          <w:szCs w:val="28"/>
          <w:highlight w:val="none"/>
          <w:lang w:val="en-US" w:eastAsia="zh-CN"/>
        </w:rPr>
        <w:t xml:space="preserve"> 本联盟建立严格的财务管理制度，保证会计资料合法、真实、准确、完整。</w:t>
      </w:r>
    </w:p>
    <w:p w14:paraId="2E935B5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第三十一条</w:t>
      </w:r>
      <w:r>
        <w:rPr>
          <w:rFonts w:hint="eastAsia" w:ascii="仿宋" w:hAnsi="仿宋" w:eastAsia="仿宋" w:cs="仿宋"/>
          <w:sz w:val="28"/>
          <w:szCs w:val="28"/>
          <w:highlight w:val="none"/>
          <w:lang w:val="en-US" w:eastAsia="zh-CN"/>
        </w:rPr>
        <w:t xml:space="preserve"> 本联盟配备具有专业资格的会计人员。会计不得兼任出纳。会计人员必须进行会计核算，实行会计监督。会计人员调动工作或离职时，必须与接管人员办清交接手续。</w:t>
      </w:r>
    </w:p>
    <w:p w14:paraId="515EE5E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第三十二条</w:t>
      </w:r>
      <w:r>
        <w:rPr>
          <w:rFonts w:hint="eastAsia" w:ascii="仿宋" w:hAnsi="仿宋" w:eastAsia="仿宋" w:cs="仿宋"/>
          <w:sz w:val="28"/>
          <w:szCs w:val="28"/>
          <w:highlight w:val="none"/>
          <w:lang w:val="en-US" w:eastAsia="zh-CN"/>
        </w:rPr>
        <w:t xml:space="preserve"> 本联盟的资产管理必须执行国家规定的财务管理，接受会员（或代表）大会和有关部门的监督。资产来源属于政府拨款或者社会捐赠、资助的，必须接受审计机关的监督，并将有关情况以适当方式向社会公布。</w:t>
      </w:r>
    </w:p>
    <w:p w14:paraId="171DC74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第三十三条</w:t>
      </w:r>
      <w:r>
        <w:rPr>
          <w:rFonts w:hint="eastAsia" w:ascii="仿宋" w:hAnsi="仿宋" w:eastAsia="仿宋" w:cs="仿宋"/>
          <w:sz w:val="28"/>
          <w:szCs w:val="28"/>
          <w:highlight w:val="none"/>
          <w:lang w:val="en-US" w:eastAsia="zh-CN"/>
        </w:rPr>
        <w:t xml:space="preserve"> 本联盟换届或更换法定代表人之前必须接受社团登记管理机关组织的财务审计。</w:t>
      </w:r>
    </w:p>
    <w:p w14:paraId="51F8879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第三十四条</w:t>
      </w:r>
      <w:r>
        <w:rPr>
          <w:rFonts w:hint="eastAsia" w:ascii="仿宋" w:hAnsi="仿宋" w:eastAsia="仿宋" w:cs="仿宋"/>
          <w:sz w:val="28"/>
          <w:szCs w:val="28"/>
          <w:highlight w:val="none"/>
          <w:lang w:val="en-US" w:eastAsia="zh-CN"/>
        </w:rPr>
        <w:t xml:space="preserve"> 本联盟的资产任何单位、个人不得侵占、私分和挪用。</w:t>
      </w:r>
    </w:p>
    <w:p w14:paraId="7D6ABFD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第三十五条</w:t>
      </w:r>
      <w:r>
        <w:rPr>
          <w:rFonts w:hint="eastAsia" w:ascii="仿宋" w:hAnsi="仿宋" w:eastAsia="仿宋" w:cs="仿宋"/>
          <w:sz w:val="28"/>
          <w:szCs w:val="28"/>
          <w:highlight w:val="none"/>
          <w:lang w:val="en-US" w:eastAsia="zh-CN"/>
        </w:rPr>
        <w:t xml:space="preserve"> 本联盟专职工作人员的工资和保险、福利待遇，参照国家对事业单位的有关规定执行。</w:t>
      </w:r>
    </w:p>
    <w:p w14:paraId="5D891D81">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107" w:leftChars="-51" w:right="-108"/>
        <w:jc w:val="center"/>
        <w:textAlignment w:val="auto"/>
        <w:rPr>
          <w:rFonts w:hint="default" w:ascii="微软雅黑" w:hAnsi="微软雅黑" w:eastAsia="微软雅黑" w:cs="微软雅黑"/>
          <w:i w:val="0"/>
          <w:iCs w:val="0"/>
          <w:caps w:val="0"/>
          <w:color w:val="333333"/>
          <w:spacing w:val="0"/>
          <w:kern w:val="0"/>
          <w:sz w:val="28"/>
          <w:szCs w:val="28"/>
          <w:highlight w:val="none"/>
          <w:shd w:val="clear" w:fill="FAFAFA"/>
          <w:lang w:val="en-US" w:eastAsia="zh-CN" w:bidi="ar"/>
        </w:rPr>
      </w:pPr>
      <w:r>
        <w:rPr>
          <w:rFonts w:hint="eastAsia" w:ascii="微软雅黑" w:hAnsi="微软雅黑" w:eastAsia="微软雅黑" w:cs="微软雅黑"/>
          <w:i w:val="0"/>
          <w:iCs w:val="0"/>
          <w:caps w:val="0"/>
          <w:color w:val="333333"/>
          <w:spacing w:val="0"/>
          <w:kern w:val="0"/>
          <w:sz w:val="28"/>
          <w:szCs w:val="28"/>
          <w:highlight w:val="none"/>
          <w:shd w:val="clear" w:fill="FAFAFA"/>
          <w:lang w:val="en-US" w:eastAsia="zh-CN" w:bidi="ar"/>
        </w:rPr>
        <w:t>第六章  终止程序</w:t>
      </w:r>
    </w:p>
    <w:p w14:paraId="603F94BB">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第三十六条</w:t>
      </w:r>
      <w:r>
        <w:rPr>
          <w:rFonts w:hint="eastAsia" w:ascii="仿宋" w:hAnsi="仿宋" w:eastAsia="仿宋" w:cs="仿宋"/>
          <w:sz w:val="28"/>
          <w:szCs w:val="28"/>
          <w:highlight w:val="none"/>
          <w:lang w:val="en-US" w:eastAsia="zh-CN"/>
        </w:rPr>
        <w:t xml:space="preserve"> 本联盟完成宗旨、自行解散或由于分立、合并等原因需要注销的，由理事会提出终止动议。</w:t>
      </w:r>
    </w:p>
    <w:p w14:paraId="7180D81B">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第三十七条</w:t>
      </w:r>
      <w:r>
        <w:rPr>
          <w:rFonts w:hint="eastAsia" w:ascii="仿宋" w:hAnsi="仿宋" w:eastAsia="仿宋" w:cs="仿宋"/>
          <w:sz w:val="28"/>
          <w:szCs w:val="28"/>
          <w:highlight w:val="none"/>
          <w:lang w:val="en-US" w:eastAsia="zh-CN"/>
        </w:rPr>
        <w:t xml:space="preserve"> 本联盟终止动议须经会员（或代表）大会表决通过，并报社团登记管理机关审查同意。</w:t>
      </w:r>
    </w:p>
    <w:p w14:paraId="2282D965">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第三十八条</w:t>
      </w:r>
      <w:r>
        <w:rPr>
          <w:rFonts w:hint="eastAsia" w:ascii="仿宋" w:hAnsi="仿宋" w:eastAsia="仿宋" w:cs="仿宋"/>
          <w:sz w:val="28"/>
          <w:szCs w:val="28"/>
          <w:highlight w:val="none"/>
          <w:lang w:val="en-US" w:eastAsia="zh-CN"/>
        </w:rPr>
        <w:t xml:space="preserve"> 本联盟终止前，须在社团登记管理机关及有关机关指导下成立清算组织，清理债权债务，处理善后事宜。清算期间，不开展清算以外的活动。</w:t>
      </w:r>
    </w:p>
    <w:p w14:paraId="1536132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第三十九条</w:t>
      </w:r>
      <w:r>
        <w:rPr>
          <w:rFonts w:hint="eastAsia" w:ascii="仿宋" w:hAnsi="仿宋" w:eastAsia="仿宋" w:cs="仿宋"/>
          <w:sz w:val="28"/>
          <w:szCs w:val="28"/>
          <w:highlight w:val="none"/>
          <w:lang w:val="en-US" w:eastAsia="zh-CN"/>
        </w:rPr>
        <w:t xml:space="preserve"> 本联盟经社团登记管理机关办理注销登记手续后即为终止。</w:t>
      </w:r>
    </w:p>
    <w:p w14:paraId="3E4C95BD">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第四十条</w:t>
      </w:r>
      <w:r>
        <w:rPr>
          <w:rFonts w:hint="eastAsia" w:ascii="仿宋" w:hAnsi="仿宋" w:eastAsia="仿宋" w:cs="仿宋"/>
          <w:sz w:val="28"/>
          <w:szCs w:val="28"/>
          <w:highlight w:val="none"/>
          <w:lang w:val="en-US" w:eastAsia="zh-CN"/>
        </w:rPr>
        <w:t xml:space="preserve"> 本联盟终止后的剩余财产，在社会团体登记管理机关的监督下，按照国家有关规定，用于发展与本联盟宗旨相关的事业。</w:t>
      </w:r>
    </w:p>
    <w:p w14:paraId="1EA5918B">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107" w:leftChars="-51" w:right="-108"/>
        <w:jc w:val="center"/>
        <w:textAlignment w:val="auto"/>
        <w:rPr>
          <w:rFonts w:hint="default" w:ascii="微软雅黑" w:hAnsi="微软雅黑" w:eastAsia="微软雅黑" w:cs="微软雅黑"/>
          <w:i w:val="0"/>
          <w:iCs w:val="0"/>
          <w:caps w:val="0"/>
          <w:color w:val="333333"/>
          <w:spacing w:val="0"/>
          <w:kern w:val="0"/>
          <w:sz w:val="28"/>
          <w:szCs w:val="28"/>
          <w:highlight w:val="none"/>
          <w:shd w:val="clear" w:fill="FAFAFA"/>
          <w:lang w:val="en-US" w:eastAsia="zh-CN" w:bidi="ar"/>
        </w:rPr>
      </w:pPr>
      <w:r>
        <w:rPr>
          <w:rFonts w:hint="eastAsia" w:ascii="微软雅黑" w:hAnsi="微软雅黑" w:eastAsia="微软雅黑" w:cs="微软雅黑"/>
          <w:i w:val="0"/>
          <w:iCs w:val="0"/>
          <w:caps w:val="0"/>
          <w:color w:val="333333"/>
          <w:spacing w:val="0"/>
          <w:kern w:val="0"/>
          <w:sz w:val="28"/>
          <w:szCs w:val="28"/>
          <w:highlight w:val="none"/>
          <w:shd w:val="clear" w:fill="FAFAFA"/>
          <w:lang w:val="en-US" w:eastAsia="zh-CN" w:bidi="ar"/>
        </w:rPr>
        <w:t>第七章  附 则</w:t>
      </w:r>
    </w:p>
    <w:p w14:paraId="5D149779">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第四十一条</w:t>
      </w:r>
      <w:r>
        <w:rPr>
          <w:rFonts w:hint="eastAsia" w:ascii="仿宋" w:hAnsi="仿宋" w:eastAsia="仿宋" w:cs="仿宋"/>
          <w:sz w:val="28"/>
          <w:szCs w:val="28"/>
          <w:highlight w:val="none"/>
          <w:lang w:val="en-US" w:eastAsia="zh-CN"/>
        </w:rPr>
        <w:t xml:space="preserve"> 本章程经2015年12月29日会员大会表决通过。</w:t>
      </w:r>
    </w:p>
    <w:p w14:paraId="6208EDA6">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第四十二条</w:t>
      </w:r>
      <w:r>
        <w:rPr>
          <w:rFonts w:hint="eastAsia" w:ascii="仿宋" w:hAnsi="仿宋" w:eastAsia="仿宋" w:cs="仿宋"/>
          <w:sz w:val="28"/>
          <w:szCs w:val="28"/>
          <w:highlight w:val="none"/>
          <w:lang w:val="en-US" w:eastAsia="zh-CN"/>
        </w:rPr>
        <w:t xml:space="preserve"> 本章程的解释权属本联盟的理事会。</w:t>
      </w:r>
    </w:p>
    <w:p w14:paraId="6EF4E8A4">
      <w:pPr>
        <w:keepNext w:val="0"/>
        <w:keepLines w:val="0"/>
        <w:pageBreakBefore w:val="0"/>
        <w:widowControl w:val="0"/>
        <w:kinsoku/>
        <w:wordWrap/>
        <w:overflowPunct/>
        <w:topLinePunct w:val="0"/>
        <w:autoSpaceDE/>
        <w:autoSpaceDN/>
        <w:bidi w:val="0"/>
        <w:adjustRightInd/>
        <w:snapToGrid/>
        <w:spacing w:line="480" w:lineRule="exact"/>
        <w:ind w:right="-108"/>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第四十三条</w:t>
      </w:r>
      <w:r>
        <w:rPr>
          <w:rFonts w:hint="eastAsia" w:ascii="仿宋" w:hAnsi="仿宋" w:eastAsia="仿宋" w:cs="仿宋"/>
          <w:sz w:val="28"/>
          <w:szCs w:val="28"/>
          <w:highlight w:val="none"/>
          <w:lang w:val="en-US" w:eastAsia="zh-CN"/>
        </w:rPr>
        <w:t xml:space="preserve"> 本章程自社会团体登记管理机关核准之日起生效。</w:t>
      </w:r>
    </w:p>
    <w:p w14:paraId="365DAC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55B4E"/>
    <w:rsid w:val="43355B4E"/>
    <w:rsid w:val="51D75253"/>
    <w:rsid w:val="5E35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311" w:leftChars="148" w:firstLine="420"/>
      <w:jc w:val="left"/>
    </w:pPr>
    <w:rPr>
      <w:rFonts w:ascii="Times New Roman" w:hAnsi="Times New Roman" w:eastAsia="宋体" w:cs="Times New Roman"/>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2025-08-04T05:26:00Z</dcterms:created>
  <dc:creator>尚华胜</dc:creator>
  <cp:lastModifiedBy>尚华胜</cp:lastModifiedBy>
  <dcterms:modified xsi:type="dcterms:W3CDTF">2025-08-04T05:28:10Z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6DC5C354F6F64687B9560543BB96FE54_13</vt:lpwstr>
  </property>
  <property fmtid="{D5CDD505-2E9C-101B-9397-08002B2CF9AE}" pid="4" name="KSOTemplateDocerSaveRecord">
    <vt:lpwstr>eyJoZGlkIjoiYTc2ZGZiNzZiNDVlOGViOWVmM2JhOTY0NGJkNjUyYzgiLCJ1c2VySWQiOiIzNDUzNDA2NTUifQ==</vt:lpwstr>
  </property>
</Properties>
</file>